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9F1646">
        <w:rPr>
          <w:rFonts w:hint="eastAsia"/>
        </w:rPr>
        <w:t>８</w:t>
      </w:r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841D91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3C435B">
        <w:rPr>
          <w:rFonts w:hint="eastAsia"/>
        </w:rPr>
        <w:t>、</w:t>
      </w:r>
      <w:r>
        <w:rPr>
          <w:rFonts w:hint="eastAsia"/>
        </w:rPr>
        <w:t>仕様書</w:t>
      </w:r>
      <w:r w:rsidR="003C435B">
        <w:rPr>
          <w:rFonts w:hint="eastAsia"/>
        </w:rPr>
        <w:t>、閲覧設計書等</w:t>
      </w:r>
      <w:bookmarkStart w:id="0" w:name="_GoBack"/>
      <w:bookmarkEnd w:id="0"/>
      <w:r>
        <w:rPr>
          <w:rFonts w:hint="eastAsia"/>
        </w:rPr>
        <w:t>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841D91">
        <w:rPr>
          <w:rFonts w:hint="eastAsia"/>
        </w:rPr>
        <w:t>京都縦貫自動車道　料金収受業務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841D91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841D91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分の８に相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108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239A7"/>
    <w:rsid w:val="000678A4"/>
    <w:rsid w:val="000867AB"/>
    <w:rsid w:val="00091DE4"/>
    <w:rsid w:val="000E5518"/>
    <w:rsid w:val="00186793"/>
    <w:rsid w:val="002807ED"/>
    <w:rsid w:val="002970F2"/>
    <w:rsid w:val="002A4BC2"/>
    <w:rsid w:val="002D787D"/>
    <w:rsid w:val="003225B9"/>
    <w:rsid w:val="003C1A67"/>
    <w:rsid w:val="003C435B"/>
    <w:rsid w:val="00425086"/>
    <w:rsid w:val="00442D7A"/>
    <w:rsid w:val="00525F8E"/>
    <w:rsid w:val="00564A94"/>
    <w:rsid w:val="0064350A"/>
    <w:rsid w:val="00646210"/>
    <w:rsid w:val="00841D91"/>
    <w:rsid w:val="00891AD4"/>
    <w:rsid w:val="00934AA1"/>
    <w:rsid w:val="009534E9"/>
    <w:rsid w:val="009A6A34"/>
    <w:rsid w:val="009F1646"/>
    <w:rsid w:val="009F48CF"/>
    <w:rsid w:val="00B97F78"/>
    <w:rsid w:val="00C6249E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5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7</cp:revision>
  <cp:lastPrinted>2016-12-14T07:00:00Z</cp:lastPrinted>
  <dcterms:created xsi:type="dcterms:W3CDTF">2016-07-15T06:09:00Z</dcterms:created>
  <dcterms:modified xsi:type="dcterms:W3CDTF">2016-12-14T07:00:00Z</dcterms:modified>
</cp:coreProperties>
</file>